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28" w:rsidRDefault="009F2F28" w:rsidP="009F2F28">
      <w:pPr>
        <w:spacing w:before="100"/>
        <w:rPr>
          <w:rFonts w:ascii="Verdana" w:hAnsi="Verdana"/>
          <w:b/>
          <w:bCs/>
          <w:sz w:val="40"/>
          <w:szCs w:val="40"/>
        </w:rPr>
      </w:pPr>
      <w:bookmarkStart w:id="0" w:name="_GoBack"/>
      <w:bookmarkEnd w:id="0"/>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7"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8160B0" w:rsidP="00C07C5F">
            <w:r w:rsidRPr="003B4C11">
              <w:fldChar w:fldCharType="begin">
                <w:ffData>
                  <w:name w:val="Text104"/>
                  <w:enabled/>
                  <w:calcOnExit w:val="0"/>
                  <w:textInput/>
                </w:ffData>
              </w:fldChar>
            </w:r>
            <w:bookmarkStart w:id="1"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1"/>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8"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8C7A5F" w:rsidP="00083063">
            <w:pPr>
              <w:rPr>
                <w:rFonts w:ascii="Verdana" w:hAnsi="Verdana" w:cs="Arial"/>
                <w:sz w:val="20"/>
              </w:rPr>
            </w:pPr>
            <w:hyperlink r:id="rId9"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who work in early years provision (including teachers and support staff working in a 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 xml:space="preserve">staff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or any member of your household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0" w:history="1">
              <w:r w:rsidRPr="004343BE">
                <w:rPr>
                  <w:rStyle w:val="Hyperlink"/>
                  <w:rFonts w:ascii="Verdana" w:hAnsi="Verdana"/>
                  <w:sz w:val="20"/>
                </w:rPr>
                <w:t>regulation 4</w:t>
              </w:r>
            </w:hyperlink>
            <w:r>
              <w:rPr>
                <w:rFonts w:ascii="Verdana" w:hAnsi="Verdana"/>
                <w:sz w:val="20"/>
              </w:rPr>
              <w:t xml:space="preserve"> and listed at </w:t>
            </w:r>
            <w:hyperlink r:id="rId11"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2"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Does any member of your household have any unspent convictions for certain violent and sexual criminal offences against children and/or adults? </w:t>
            </w:r>
          </w:p>
          <w:p w:rsidR="00C22A1C" w:rsidRPr="00C22A1C" w:rsidRDefault="008C7A5F" w:rsidP="00083063">
            <w:pPr>
              <w:rPr>
                <w:rFonts w:ascii="Verdana" w:hAnsi="Verdana"/>
                <w:sz w:val="20"/>
                <w:szCs w:val="20"/>
              </w:rPr>
            </w:pPr>
            <w:hyperlink r:id="rId13" w:history="1">
              <w:r w:rsidR="00083063" w:rsidRPr="004343BE">
                <w:rPr>
                  <w:rStyle w:val="Hyperlink"/>
                  <w:rFonts w:ascii="Verdana" w:hAnsi="Verdana"/>
                  <w:sz w:val="20"/>
                </w:rPr>
                <w:t>(See Table A – Relevant Offences)</w:t>
              </w:r>
            </w:hyperlink>
          </w:p>
        </w:tc>
        <w:tc>
          <w:tcPr>
            <w:tcW w:w="1468" w:type="dxa"/>
            <w:vAlign w:val="center"/>
          </w:tcPr>
          <w:p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
        <w:gridCol w:w="2316"/>
        <w:gridCol w:w="1253"/>
        <w:gridCol w:w="963"/>
        <w:gridCol w:w="52"/>
        <w:gridCol w:w="2773"/>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2"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3"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3"/>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rsidR="0005295E" w:rsidRPr="00002FD1" w:rsidRDefault="0005295E">
      <w:pPr>
        <w:rPr>
          <w:rFonts w:ascii="Verdana" w:hAnsi="Verdana"/>
        </w:rPr>
      </w:pPr>
    </w:p>
    <w:sectPr w:rsidR="0005295E" w:rsidRPr="00002FD1" w:rsidSect="00083063">
      <w:footerReference w:type="default" r:id="rId14"/>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E2" w:rsidRDefault="00985D47">
      <w:r>
        <w:separator/>
      </w:r>
    </w:p>
  </w:endnote>
  <w:endnote w:type="continuationSeparator" w:id="0">
    <w:p w:rsidR="00992CE2" w:rsidRDefault="009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01" w:rsidRPr="00333201" w:rsidRDefault="00333201" w:rsidP="00333201">
    <w:pPr>
      <w:pStyle w:val="Footer"/>
      <w:rPr>
        <w:rFonts w:ascii="Verdana" w:hAnsi="Verdana"/>
        <w:sz w:val="20"/>
        <w:szCs w:val="20"/>
      </w:rPr>
    </w:pPr>
    <w:r w:rsidRPr="00333201">
      <w:rPr>
        <w:rFonts w:ascii="Verdana" w:hAnsi="Verdana"/>
        <w:sz w:val="20"/>
        <w:szCs w:val="20"/>
      </w:rPr>
      <w:t>People Management Development and Wellbeing</w:t>
    </w:r>
  </w:p>
  <w:p w:rsidR="00333201" w:rsidRDefault="00083063" w:rsidP="00333201">
    <w:pPr>
      <w:pStyle w:val="Footer"/>
      <w:rPr>
        <w:rFonts w:ascii="Verdana" w:hAnsi="Verdana"/>
        <w:sz w:val="20"/>
        <w:szCs w:val="20"/>
      </w:rPr>
    </w:pPr>
    <w:r>
      <w:rPr>
        <w:rFonts w:ascii="Verdana" w:hAnsi="Verdana"/>
        <w:sz w:val="20"/>
        <w:szCs w:val="20"/>
      </w:rPr>
      <w:t>March</w:t>
    </w:r>
    <w:r w:rsidR="007A4CA3">
      <w:rPr>
        <w:rFonts w:ascii="Verdana" w:hAnsi="Verdana"/>
        <w:sz w:val="20"/>
        <w:szCs w:val="20"/>
      </w:rPr>
      <w:t xml:space="preserve"> 2015</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8C7A5F" w:rsidP="00B037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E2" w:rsidRDefault="00985D47">
      <w:r>
        <w:separator/>
      </w:r>
    </w:p>
  </w:footnote>
  <w:footnote w:type="continuationSeparator" w:id="0">
    <w:p w:rsidR="00992CE2" w:rsidRDefault="0098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0"/>
    <w:rsid w:val="00002FD1"/>
    <w:rsid w:val="0004333B"/>
    <w:rsid w:val="0005295E"/>
    <w:rsid w:val="00083063"/>
    <w:rsid w:val="000D272E"/>
    <w:rsid w:val="00107968"/>
    <w:rsid w:val="00325D44"/>
    <w:rsid w:val="00333201"/>
    <w:rsid w:val="003A58E8"/>
    <w:rsid w:val="004C253F"/>
    <w:rsid w:val="005E7E71"/>
    <w:rsid w:val="006455BE"/>
    <w:rsid w:val="006860DE"/>
    <w:rsid w:val="007A4CA3"/>
    <w:rsid w:val="008160B0"/>
    <w:rsid w:val="008841D2"/>
    <w:rsid w:val="008C7A5F"/>
    <w:rsid w:val="00985D47"/>
    <w:rsid w:val="00992CE2"/>
    <w:rsid w:val="009B1264"/>
    <w:rsid w:val="009F2F28"/>
    <w:rsid w:val="00C22A1C"/>
    <w:rsid w:val="00C4663D"/>
    <w:rsid w:val="00CF51A4"/>
    <w:rsid w:val="00EB75A2"/>
    <w:rsid w:val="00ED5D34"/>
    <w:rsid w:val="00F45AA3"/>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4BDB7-9A70-4022-9D7F-2CB1A017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yperlink" Target="https://www.gov.uk/government/uploads/system/uploads/attachment_data/file/407788/disqual_stat-guidance_Feb_15.pdf" TargetMode="External"/><Relationship Id="rId3" Type="http://schemas.openxmlformats.org/officeDocument/2006/relationships/settings" Target="settings.xml"/><Relationship Id="rId7" Type="http://schemas.openxmlformats.org/officeDocument/2006/relationships/hyperlink" Target="mailto:hrsafeguardingteam@cornwall.gov.uk" TargetMode="External"/><Relationship Id="rId12" Type="http://schemas.openxmlformats.org/officeDocument/2006/relationships/hyperlink" Target="http://www.legislation.gov.uk/uksi/2009/1547/schedule/1/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1547/schedule/1/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09/1547/regulation/4/made"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M Richardson</cp:lastModifiedBy>
  <cp:revision>2</cp:revision>
  <cp:lastPrinted>2015-01-27T13:54:00Z</cp:lastPrinted>
  <dcterms:created xsi:type="dcterms:W3CDTF">2018-09-06T14:04:00Z</dcterms:created>
  <dcterms:modified xsi:type="dcterms:W3CDTF">2018-09-06T14:04:00Z</dcterms:modified>
</cp:coreProperties>
</file>